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9FE01" w14:textId="77777777" w:rsidR="00A21A2F" w:rsidRDefault="009F34E2">
      <w:pPr>
        <w:spacing w:before="46"/>
        <w:ind w:left="1340" w:right="1252"/>
        <w:jc w:val="center"/>
        <w:rPr>
          <w:sz w:val="52"/>
        </w:rPr>
      </w:pPr>
      <w:bookmarkStart w:id="0" w:name="_GoBack"/>
      <w:bookmarkEnd w:id="0"/>
      <w:r>
        <w:rPr>
          <w:sz w:val="52"/>
        </w:rPr>
        <w:t>Visioner</w:t>
      </w:r>
    </w:p>
    <w:p w14:paraId="044228D6" w14:textId="05F4794F" w:rsidR="00A21A2F" w:rsidRDefault="009F34E2">
      <w:pPr>
        <w:spacing w:before="3"/>
        <w:ind w:left="1349" w:right="1252"/>
        <w:jc w:val="center"/>
        <w:rPr>
          <w:sz w:val="52"/>
        </w:rPr>
      </w:pPr>
      <w:r>
        <w:rPr>
          <w:noProof/>
        </w:rPr>
        <mc:AlternateContent>
          <mc:Choice Requires="wps">
            <w:drawing>
              <wp:anchor distT="0" distB="0" distL="114300" distR="114300" simplePos="0" relativeHeight="251659264" behindDoc="0" locked="0" layoutInCell="1" allowOverlap="1" wp14:anchorId="6E01DB7D" wp14:editId="7119CDAE">
                <wp:simplePos x="0" y="0"/>
                <wp:positionH relativeFrom="page">
                  <wp:posOffset>1062355</wp:posOffset>
                </wp:positionH>
                <wp:positionV relativeFrom="paragraph">
                  <wp:posOffset>461010</wp:posOffset>
                </wp:positionV>
                <wp:extent cx="407860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860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FEE2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65pt,36.3pt" to="404.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" strokecolor="#4f81bc" strokeweight=".96pt">
                <w10:wrap anchorx="page"/>
              </v:line>
            </w:pict>
          </mc:Fallback>
        </mc:AlternateContent>
      </w:r>
      <w:r>
        <w:rPr>
          <w:sz w:val="52"/>
        </w:rPr>
        <w:t xml:space="preserve">for tolkeområdet </w:t>
      </w:r>
      <w:r>
        <w:rPr>
          <w:sz w:val="52"/>
          <w:vertAlign w:val="superscript"/>
        </w:rPr>
        <w:t>1</w:t>
      </w:r>
    </w:p>
    <w:sdt>
      <w:sdtPr>
        <w:id w:val="1931777518"/>
        <w:docPartObj>
          <w:docPartGallery w:val="Table of Contents"/>
          <w:docPartUnique/>
        </w:docPartObj>
      </w:sdtPr>
      <w:sdtEndPr/>
      <w:sdtContent>
        <w:p w14:paraId="79253D41" w14:textId="77777777" w:rsidR="00A21A2F" w:rsidRDefault="009F34E2">
          <w:pPr>
            <w:pStyle w:val="Indholdsfortegnelse1"/>
            <w:tabs>
              <w:tab w:val="right" w:leader="dot" w:pos="6496"/>
            </w:tabs>
            <w:spacing w:before="914"/>
          </w:pPr>
          <w:r>
            <w:fldChar w:fldCharType="begin"/>
          </w:r>
          <w:r>
            <w:instrText xml:space="preserve">TOC \o "1-1" \h \z \u </w:instrText>
          </w:r>
          <w:r>
            <w:fldChar w:fldCharType="separate"/>
          </w:r>
          <w:hyperlink w:anchor="_bookmark0" w:history="1">
            <w:r>
              <w:t>Introduktion</w:t>
            </w:r>
            <w:r>
              <w:tab/>
              <w:t>1</w:t>
            </w:r>
          </w:hyperlink>
        </w:p>
        <w:p w14:paraId="24ABEA90" w14:textId="77777777" w:rsidR="00A21A2F" w:rsidRDefault="009F34E2">
          <w:pPr>
            <w:pStyle w:val="Indholdsfortegnelse1"/>
            <w:tabs>
              <w:tab w:val="right" w:leader="dot" w:pos="6496"/>
            </w:tabs>
          </w:pPr>
          <w:hyperlink w:anchor="_bookmark1" w:history="1">
            <w:r>
              <w:t>Vision 1: Ret</w:t>
            </w:r>
            <w:r>
              <w:rPr>
                <w:spacing w:val="-4"/>
              </w:rPr>
              <w:t xml:space="preserve"> </w:t>
            </w:r>
            <w:r>
              <w:t>til inddragelse</w:t>
            </w:r>
            <w:r>
              <w:tab/>
              <w:t>2</w:t>
            </w:r>
          </w:hyperlink>
        </w:p>
        <w:p w14:paraId="72526B34" w14:textId="77777777" w:rsidR="00A21A2F" w:rsidRDefault="009F34E2">
          <w:pPr>
            <w:pStyle w:val="Indholdsfortegnelse1"/>
            <w:tabs>
              <w:tab w:val="right" w:leader="dot" w:pos="6496"/>
            </w:tabs>
            <w:spacing w:before="140"/>
          </w:pPr>
          <w:hyperlink w:anchor="_bookmark2" w:history="1">
            <w:r>
              <w:t>Vision 2: Ret</w:t>
            </w:r>
            <w:r>
              <w:rPr>
                <w:spacing w:val="-4"/>
              </w:rPr>
              <w:t xml:space="preserve"> </w:t>
            </w:r>
            <w:r>
              <w:t>til tolk</w:t>
            </w:r>
            <w:r>
              <w:tab/>
              <w:t>2</w:t>
            </w:r>
          </w:hyperlink>
        </w:p>
        <w:p w14:paraId="5EE7A260" w14:textId="77777777" w:rsidR="00A21A2F" w:rsidRDefault="009F34E2">
          <w:pPr>
            <w:pStyle w:val="Indholdsfortegnelse1"/>
            <w:tabs>
              <w:tab w:val="right" w:leader="dot" w:pos="6496"/>
            </w:tabs>
            <w:spacing w:before="142"/>
          </w:pPr>
          <w:hyperlink w:anchor="_bookmark3" w:history="1">
            <w:r>
              <w:t>Vision 3: En indgang og udbud med frit valg</w:t>
            </w:r>
            <w:r>
              <w:rPr>
                <w:spacing w:val="-12"/>
              </w:rPr>
              <w:t xml:space="preserve"> </w:t>
            </w:r>
            <w:r>
              <w:t>af tolk</w:t>
            </w:r>
            <w:r>
              <w:tab/>
              <w:t>3</w:t>
            </w:r>
          </w:hyperlink>
        </w:p>
        <w:p w14:paraId="774D19B5" w14:textId="77777777" w:rsidR="00A21A2F" w:rsidRDefault="009F34E2">
          <w:pPr>
            <w:pStyle w:val="Indholdsfortegnelse1"/>
            <w:tabs>
              <w:tab w:val="right" w:leader="dot" w:pos="6496"/>
            </w:tabs>
          </w:pPr>
          <w:hyperlink w:anchor="_bookmark4" w:history="1">
            <w:r>
              <w:t>Vision 4: Fri tolkning på det</w:t>
            </w:r>
            <w:r>
              <w:rPr>
                <w:spacing w:val="-8"/>
              </w:rPr>
              <w:t xml:space="preserve"> </w:t>
            </w:r>
            <w:r>
              <w:t>sociale</w:t>
            </w:r>
            <w:r>
              <w:rPr>
                <w:spacing w:val="-2"/>
              </w:rPr>
              <w:t xml:space="preserve"> </w:t>
            </w:r>
            <w:r>
              <w:t>område</w:t>
            </w:r>
            <w:r>
              <w:tab/>
              <w:t>3</w:t>
            </w:r>
          </w:hyperlink>
        </w:p>
        <w:p w14:paraId="63E036FA" w14:textId="77777777" w:rsidR="00A21A2F" w:rsidRDefault="009F34E2">
          <w:pPr>
            <w:pStyle w:val="Indholdsfortegnelse1"/>
            <w:tabs>
              <w:tab w:val="right" w:leader="dot" w:pos="6496"/>
            </w:tabs>
            <w:spacing w:before="140"/>
          </w:pPr>
          <w:hyperlink w:anchor="_bookmark5" w:history="1">
            <w:r>
              <w:t>Vision 5: En</w:t>
            </w:r>
            <w:r>
              <w:rPr>
                <w:spacing w:val="-3"/>
              </w:rPr>
              <w:t xml:space="preserve"> </w:t>
            </w:r>
            <w:r>
              <w:t>fleksibel</w:t>
            </w:r>
            <w:r>
              <w:rPr>
                <w:spacing w:val="-3"/>
              </w:rPr>
              <w:t xml:space="preserve"> </w:t>
            </w:r>
            <w:r>
              <w:t>arbejdspladstolkning</w:t>
            </w:r>
            <w:r>
              <w:tab/>
              <w:t>4</w:t>
            </w:r>
          </w:hyperlink>
        </w:p>
        <w:p w14:paraId="2BAA0956" w14:textId="77777777" w:rsidR="00A21A2F" w:rsidRDefault="009F34E2">
          <w:pPr>
            <w:pStyle w:val="Indholdsfortegnelse1"/>
            <w:tabs>
              <w:tab w:val="right" w:leader="dot" w:pos="6496"/>
            </w:tabs>
            <w:spacing w:before="142"/>
          </w:pPr>
          <w:hyperlink w:anchor="_bookmark6" w:history="1">
            <w:r>
              <w:t>Vision 6: Tolkning</w:t>
            </w:r>
            <w:r>
              <w:rPr>
                <w:spacing w:val="-3"/>
              </w:rPr>
              <w:t xml:space="preserve"> </w:t>
            </w:r>
            <w:r>
              <w:t>indenfor</w:t>
            </w:r>
            <w:r>
              <w:rPr>
                <w:spacing w:val="-2"/>
              </w:rPr>
              <w:t xml:space="preserve"> </w:t>
            </w:r>
            <w:r>
              <w:t>uddannelsesområdet</w:t>
            </w:r>
            <w:r>
              <w:tab/>
              <w:t>4</w:t>
            </w:r>
          </w:hyperlink>
        </w:p>
        <w:p w14:paraId="3534ED07" w14:textId="77777777" w:rsidR="00A21A2F" w:rsidRDefault="009F34E2">
          <w:pPr>
            <w:pStyle w:val="Indholdsfortegnelse1"/>
            <w:tabs>
              <w:tab w:val="right" w:leader="dot" w:pos="6496"/>
            </w:tabs>
          </w:pPr>
          <w:hyperlink w:anchor="_bookmark7" w:history="1">
            <w:r>
              <w:t>Aktuel</w:t>
            </w:r>
            <w:r>
              <w:rPr>
                <w:spacing w:val="-1"/>
              </w:rPr>
              <w:t xml:space="preserve"> </w:t>
            </w:r>
            <w:r>
              <w:t>lovgivning</w:t>
            </w:r>
            <w:r>
              <w:tab/>
              <w:t>5</w:t>
            </w:r>
          </w:hyperlink>
        </w:p>
        <w:p w14:paraId="4A75F5A4" w14:textId="77777777" w:rsidR="00A21A2F" w:rsidRDefault="009F34E2">
          <w:pPr>
            <w:spacing w:line="200" w:lineRule="exact"/>
            <w:rPr>
              <w:sz w:val="20"/>
            </w:rPr>
          </w:pPr>
          <w:r>
            <w:fldChar w:fldCharType="end"/>
          </w:r>
        </w:p>
      </w:sdtContent>
    </w:sdt>
    <w:p w14:paraId="2A5D7516" w14:textId="77777777" w:rsidR="00A21A2F" w:rsidRDefault="009F34E2">
      <w:pPr>
        <w:pStyle w:val="Overskrift1"/>
        <w:spacing w:before="452"/>
        <w:jc w:val="left"/>
      </w:pPr>
      <w:bookmarkStart w:id="1" w:name="_bookmark0"/>
      <w:bookmarkEnd w:id="1"/>
      <w:r>
        <w:t>Introduktion:</w:t>
      </w:r>
    </w:p>
    <w:p w14:paraId="5E61A508" w14:textId="77777777" w:rsidR="00A21A2F" w:rsidRDefault="009F34E2">
      <w:pPr>
        <w:pStyle w:val="Brdtekst"/>
        <w:spacing w:before="289" w:line="276" w:lineRule="auto"/>
        <w:ind w:left="141" w:right="38"/>
        <w:jc w:val="both"/>
      </w:pPr>
      <w:r>
        <w:t xml:space="preserve">Danske Døves Landsforbund, Foreningen Danske DøvBlinde, Høreforeningen og Danske Døves Ungdomsforbund (brugerorganisationerne i </w:t>
      </w:r>
      <w:r>
        <w:t>det følgende) præsenterer i det følgende vores visioner for tolkeområdet for tegnsprogs-, skrive- og døvblindetolkning.</w:t>
      </w:r>
    </w:p>
    <w:p w14:paraId="63050E27" w14:textId="77777777" w:rsidR="00A21A2F" w:rsidRDefault="009F34E2">
      <w:pPr>
        <w:pStyle w:val="Brdtekst"/>
        <w:spacing w:before="43" w:line="278" w:lineRule="auto"/>
        <w:ind w:left="141" w:right="114"/>
        <w:jc w:val="both"/>
      </w:pPr>
      <w:r>
        <w:br w:type="column"/>
      </w:r>
      <w:r>
        <w:t>Dette dokument er et resultat af en arbejdsgruppes gennemgang af alle de områder, hvor vores medlemmer oplever barrierer og problemer p</w:t>
      </w:r>
      <w:r>
        <w:t>å tolkeområdet. For hvert problemfelt fremlægges en vision og en række anbefalinger til at løse</w:t>
      </w:r>
      <w:r>
        <w:rPr>
          <w:spacing w:val="-9"/>
        </w:rPr>
        <w:t xml:space="preserve"> </w:t>
      </w:r>
      <w:r>
        <w:t>udfordringerne.</w:t>
      </w:r>
    </w:p>
    <w:p w14:paraId="53FCDDBC" w14:textId="77777777" w:rsidR="00A21A2F" w:rsidRDefault="009F34E2">
      <w:pPr>
        <w:pStyle w:val="Brdtekst"/>
        <w:spacing w:before="192" w:line="276" w:lineRule="auto"/>
        <w:ind w:left="141" w:right="115"/>
        <w:jc w:val="both"/>
      </w:pPr>
      <w:r>
        <w:t>Vores mål er, at døve, døvblinde og mennesker med høretab har samme muligheder som alle andre. Det betyder bl.a. at gruppen skal være i arbejde og have karrieremuligheder, der matcher deres uddannelsesniveau og erhvervserfaringer. Samtidig skal døve, døvbl</w:t>
      </w:r>
      <w:r>
        <w:t>inde og mennesker med høretab have samme adgang til information og kommunikation som deres jævnaldrende i form af tegnsprogstolkning, døvblindetolkning, skrivetolkning, tale-til-tekst og/eller alternative former for kommunikation, herunder også stemme tolk</w:t>
      </w:r>
      <w:r>
        <w:t>ning. Ovenstående mål bakkes op af menneskerettigheder, først og fremmest af;</w:t>
      </w:r>
    </w:p>
    <w:p w14:paraId="26D360E5" w14:textId="77777777" w:rsidR="00A21A2F" w:rsidRDefault="00A21A2F">
      <w:pPr>
        <w:pStyle w:val="Brdtekst"/>
        <w:spacing w:before="5"/>
        <w:rPr>
          <w:sz w:val="16"/>
        </w:rPr>
      </w:pPr>
    </w:p>
    <w:p w14:paraId="163904BD" w14:textId="77777777" w:rsidR="00A21A2F" w:rsidRDefault="009F34E2">
      <w:pPr>
        <w:pStyle w:val="Listeafsnit"/>
        <w:numPr>
          <w:ilvl w:val="0"/>
          <w:numId w:val="1"/>
        </w:numPr>
        <w:tabs>
          <w:tab w:val="left" w:pos="502"/>
        </w:tabs>
        <w:spacing w:line="273" w:lineRule="auto"/>
        <w:ind w:right="114"/>
        <w:jc w:val="both"/>
      </w:pPr>
      <w:r>
        <w:t>FN’s konvention om rettigheder for personer med handicap (CRPD), artikel 4.3, artikel 9, artikel</w:t>
      </w:r>
      <w:r>
        <w:rPr>
          <w:spacing w:val="-7"/>
        </w:rPr>
        <w:t xml:space="preserve"> </w:t>
      </w:r>
      <w:r>
        <w:t>21.</w:t>
      </w:r>
    </w:p>
    <w:p w14:paraId="24778E72" w14:textId="77777777" w:rsidR="00A21A2F" w:rsidRDefault="009F34E2">
      <w:pPr>
        <w:pStyle w:val="Listeafsnit"/>
        <w:numPr>
          <w:ilvl w:val="0"/>
          <w:numId w:val="1"/>
        </w:numPr>
        <w:tabs>
          <w:tab w:val="left" w:pos="502"/>
        </w:tabs>
        <w:spacing w:before="5" w:line="276" w:lineRule="auto"/>
        <w:ind w:right="115"/>
        <w:jc w:val="both"/>
      </w:pPr>
      <w:r>
        <w:t>Europa-Parlamentets beslutning af 23. november 2016 om tegnsprog og professi</w:t>
      </w:r>
      <w:r>
        <w:t>onelle tegnsprogstolke (2016/2952(RSP), der henviser til, at artikel 21 og 26 i Den Europæiske Unions charter om grundlæggende rettigheder, udtrykkeligt forbyder forskelsbehandling på grund af handicap og fastslår, at personer med handicap skal sikres lige</w:t>
      </w:r>
      <w:r>
        <w:t xml:space="preserve"> deltagelse i</w:t>
      </w:r>
      <w:r>
        <w:rPr>
          <w:spacing w:val="-2"/>
        </w:rPr>
        <w:t xml:space="preserve"> </w:t>
      </w:r>
      <w:r>
        <w:t>samfundet.</w:t>
      </w:r>
    </w:p>
    <w:p w14:paraId="19A05F58" w14:textId="77777777" w:rsidR="00A21A2F" w:rsidRDefault="00A21A2F">
      <w:pPr>
        <w:spacing w:line="276" w:lineRule="auto"/>
        <w:jc w:val="both"/>
        <w:sectPr w:rsidR="00A21A2F">
          <w:footerReference w:type="default" r:id="rId7"/>
          <w:type w:val="continuous"/>
          <w:pgSz w:w="16840" w:h="11910" w:orient="landscape"/>
          <w:pgMar w:top="1080" w:right="1580" w:bottom="1160" w:left="1560" w:header="708" w:footer="969" w:gutter="0"/>
          <w:pgNumType w:start="1"/>
          <w:cols w:num="2" w:space="708" w:equalWidth="0">
            <w:col w:w="6552" w:space="519"/>
            <w:col w:w="6629"/>
          </w:cols>
        </w:sectPr>
      </w:pPr>
    </w:p>
    <w:p w14:paraId="387661BA" w14:textId="77777777" w:rsidR="00A21A2F" w:rsidRDefault="00A21A2F">
      <w:pPr>
        <w:pStyle w:val="Brdtekst"/>
        <w:spacing w:before="11"/>
        <w:rPr>
          <w:sz w:val="23"/>
        </w:rPr>
      </w:pPr>
    </w:p>
    <w:p w14:paraId="308FDD3C" w14:textId="17C6BC92" w:rsidR="00A21A2F" w:rsidRDefault="009F34E2">
      <w:pPr>
        <w:pStyle w:val="Brdtekst"/>
        <w:spacing w:line="20" w:lineRule="exact"/>
        <w:ind w:left="133"/>
        <w:rPr>
          <w:sz w:val="2"/>
        </w:rPr>
      </w:pPr>
      <w:r>
        <w:rPr>
          <w:noProof/>
          <w:sz w:val="2"/>
        </w:rPr>
        <mc:AlternateContent>
          <mc:Choice Requires="wpg">
            <w:drawing>
              <wp:inline distT="0" distB="0" distL="0" distR="0" wp14:anchorId="584E2FF0" wp14:editId="18628CF8">
                <wp:extent cx="1829435" cy="9525"/>
                <wp:effectExtent l="8255" t="4445" r="1016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9525"/>
                          <a:chOff x="0" y="0"/>
                          <a:chExt cx="2881" cy="15"/>
                        </a:xfrm>
                      </wpg:grpSpPr>
                      <wps:wsp>
                        <wps:cNvPr id="3" name="Line 3"/>
                        <wps:cNvCnPr>
                          <a:cxnSpLocks noChangeShapeType="1"/>
                        </wps:cNvCnPr>
                        <wps:spPr bwMode="auto">
                          <a:xfrm>
                            <a:off x="0" y="7"/>
                            <a:ext cx="28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76A2B3" id="Group 2" o:spid="_x0000_s1026" style="width:144.05pt;height:.75pt;mso-position-horizontal-relative:char;mso-position-vertical-relative:line"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">
                <v:line id="Line 3" o:spid="_x0000_s1027" style="position:absolute;visibility:visible;mso-wrap-style:square" from="0,7" to="2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anchorlock/>
              </v:group>
            </w:pict>
          </mc:Fallback>
        </mc:AlternateContent>
      </w:r>
    </w:p>
    <w:p w14:paraId="1A271746" w14:textId="77777777" w:rsidR="00A21A2F" w:rsidRDefault="009F34E2">
      <w:pPr>
        <w:spacing w:before="64"/>
        <w:ind w:left="141" w:right="6771"/>
        <w:rPr>
          <w:i/>
          <w:sz w:val="20"/>
        </w:rPr>
      </w:pPr>
      <w:r>
        <w:rPr>
          <w:i/>
          <w:position w:val="10"/>
          <w:sz w:val="13"/>
        </w:rPr>
        <w:t xml:space="preserve">1 </w:t>
      </w:r>
      <w:r>
        <w:rPr>
          <w:i/>
          <w:sz w:val="20"/>
        </w:rPr>
        <w:t>Tegnsprogstolkning, herunder døve tegnsprogstolke, døvblindetolkning (taktiltolkning, haptisk kommunikation, punkttolkning, taletolkning og Lorm), skrivetolkning, tale-til-tekst og/eller alternative former for kommunik</w:t>
      </w:r>
      <w:r>
        <w:rPr>
          <w:i/>
          <w:sz w:val="20"/>
        </w:rPr>
        <w:t>ation, herunder også stemme tolkning.</w:t>
      </w:r>
    </w:p>
    <w:p w14:paraId="68B48F0D" w14:textId="77777777" w:rsidR="00A21A2F" w:rsidRDefault="00A21A2F">
      <w:pPr>
        <w:rPr>
          <w:sz w:val="20"/>
        </w:rPr>
        <w:sectPr w:rsidR="00A21A2F">
          <w:type w:val="continuous"/>
          <w:pgSz w:w="16840" w:h="11910" w:orient="landscape"/>
          <w:pgMar w:top="1080" w:right="1580" w:bottom="1160" w:left="1560" w:header="708" w:footer="708" w:gutter="0"/>
          <w:cols w:space="708"/>
        </w:sectPr>
      </w:pPr>
    </w:p>
    <w:p w14:paraId="71E0CF85" w14:textId="77777777" w:rsidR="00A21A2F" w:rsidRDefault="009F34E2">
      <w:pPr>
        <w:pStyle w:val="Overskrift1"/>
      </w:pPr>
      <w:bookmarkStart w:id="2" w:name="_bookmark1"/>
      <w:bookmarkEnd w:id="2"/>
      <w:r>
        <w:lastRenderedPageBreak/>
        <w:t>Vision 1: Ret til inddragelse</w:t>
      </w:r>
    </w:p>
    <w:p w14:paraId="58860D70" w14:textId="77777777" w:rsidR="00A21A2F" w:rsidRDefault="00A21A2F">
      <w:pPr>
        <w:pStyle w:val="Brdtekst"/>
        <w:spacing w:before="5"/>
        <w:rPr>
          <w:b/>
          <w:sz w:val="23"/>
        </w:rPr>
      </w:pPr>
    </w:p>
    <w:p w14:paraId="29BE5FB9" w14:textId="77777777" w:rsidR="00A21A2F" w:rsidRDefault="009F34E2">
      <w:pPr>
        <w:pStyle w:val="Brdtekst"/>
        <w:spacing w:line="276" w:lineRule="auto"/>
        <w:ind w:left="141" w:right="38"/>
        <w:jc w:val="both"/>
      </w:pPr>
      <w:r>
        <w:t xml:space="preserve">Brugerorganisationerne kæmper for retten til inddragelse af døve, døvblinde og personer med høretab. Ifølge Handicapkonventionen er Regeringen forpligtet til at inddrage </w:t>
      </w:r>
      <w:r>
        <w:t>personer med handicap og deres organisationer på de områder, som skal sikre lige deltagelse i samfundet. Lige nu har vi brugerorganisationer kun i meget begrænset omfang indflydelse på udviklingen af tolkeområdet. Det ses blandt andet ved, at brugerorganis</w:t>
      </w:r>
      <w:r>
        <w:t xml:space="preserve">ationerne ikke inddrages i udarbejdelse af udbudsmateriale ved udbud på tolkeområdet. Samtidig opleves Tolkerådet mest af alt som et orienteringsforum, og ikke som et beslutnings- og rådgivningsorgan. Vi oplever også, at det som organisationer er svært at </w:t>
      </w:r>
      <w:r>
        <w:t>kommunikere med de ansvarlige for tolkeområdet, fordi myndighedsansvaret er fordelt på mange forskellige myndigheder. Der er således ikke noget samlet overblik eller ansvar for</w:t>
      </w:r>
      <w:r>
        <w:rPr>
          <w:spacing w:val="-1"/>
        </w:rPr>
        <w:t xml:space="preserve"> </w:t>
      </w:r>
      <w:r>
        <w:t>tolkeområdet.</w:t>
      </w:r>
    </w:p>
    <w:p w14:paraId="076B147A" w14:textId="77777777" w:rsidR="00A21A2F" w:rsidRDefault="00A21A2F">
      <w:pPr>
        <w:pStyle w:val="Brdtekst"/>
        <w:spacing w:before="10"/>
        <w:rPr>
          <w:sz w:val="19"/>
        </w:rPr>
      </w:pPr>
    </w:p>
    <w:p w14:paraId="31FD3EC0" w14:textId="77777777" w:rsidR="00A21A2F" w:rsidRDefault="009F34E2">
      <w:pPr>
        <w:ind w:left="141"/>
        <w:jc w:val="both"/>
        <w:rPr>
          <w:i/>
        </w:rPr>
      </w:pPr>
      <w:r>
        <w:rPr>
          <w:i/>
        </w:rPr>
        <w:t>Vi anbefaler derfor at;</w:t>
      </w:r>
    </w:p>
    <w:p w14:paraId="5B5D0897" w14:textId="77777777" w:rsidR="00A21A2F" w:rsidRDefault="00A21A2F">
      <w:pPr>
        <w:pStyle w:val="Brdtekst"/>
        <w:rPr>
          <w:i/>
          <w:sz w:val="23"/>
        </w:rPr>
      </w:pPr>
    </w:p>
    <w:p w14:paraId="1B1F7594" w14:textId="77777777" w:rsidR="00A21A2F" w:rsidRDefault="009F34E2">
      <w:pPr>
        <w:pStyle w:val="Listeafsnit"/>
        <w:numPr>
          <w:ilvl w:val="1"/>
          <w:numId w:val="1"/>
        </w:numPr>
        <w:tabs>
          <w:tab w:val="left" w:pos="862"/>
        </w:tabs>
        <w:spacing w:line="273" w:lineRule="auto"/>
        <w:ind w:left="861" w:right="39"/>
        <w:jc w:val="both"/>
        <w:rPr>
          <w:rFonts w:ascii="Symbol" w:hAnsi="Symbol"/>
          <w:i/>
          <w:sz w:val="24"/>
        </w:rPr>
      </w:pPr>
      <w:r>
        <w:rPr>
          <w:i/>
        </w:rPr>
        <w:t>Tolkerådet bliver det koordinerende organ for tolkeområdet – og at brugerorganisationerne sikres reel indflydelse i Tolkerådet.</w:t>
      </w:r>
    </w:p>
    <w:p w14:paraId="20EE77BF" w14:textId="77777777" w:rsidR="00A21A2F" w:rsidRDefault="009F34E2">
      <w:pPr>
        <w:pStyle w:val="Listeafsnit"/>
        <w:numPr>
          <w:ilvl w:val="1"/>
          <w:numId w:val="1"/>
        </w:numPr>
        <w:tabs>
          <w:tab w:val="left" w:pos="862"/>
        </w:tabs>
        <w:spacing w:before="4" w:line="273" w:lineRule="auto"/>
        <w:ind w:left="861"/>
        <w:jc w:val="both"/>
        <w:rPr>
          <w:rFonts w:ascii="Symbol" w:hAnsi="Symbol"/>
          <w:i/>
          <w:sz w:val="24"/>
        </w:rPr>
      </w:pPr>
      <w:r>
        <w:rPr>
          <w:i/>
        </w:rPr>
        <w:t>Vi inddrages i udarbejdelse af de politiske retningslinjer og udbudsstruktur vedr. tolkeområdet for at sikre tolkebrugernes pers</w:t>
      </w:r>
      <w:r>
        <w:rPr>
          <w:i/>
        </w:rPr>
        <w:t>pektiv.</w:t>
      </w:r>
    </w:p>
    <w:p w14:paraId="7774B113" w14:textId="77777777" w:rsidR="00A21A2F" w:rsidRDefault="009F34E2">
      <w:pPr>
        <w:pStyle w:val="Overskrift1"/>
      </w:pPr>
      <w:r>
        <w:rPr>
          <w:b w:val="0"/>
        </w:rPr>
        <w:br w:type="column"/>
      </w:r>
      <w:bookmarkStart w:id="3" w:name="_bookmark2"/>
      <w:bookmarkEnd w:id="3"/>
      <w:r>
        <w:t>Vision 2: Ret til tolk</w:t>
      </w:r>
    </w:p>
    <w:p w14:paraId="52BA2C2C" w14:textId="77777777" w:rsidR="00A21A2F" w:rsidRDefault="00A21A2F">
      <w:pPr>
        <w:pStyle w:val="Brdtekst"/>
        <w:spacing w:before="5"/>
        <w:rPr>
          <w:b/>
          <w:sz w:val="23"/>
        </w:rPr>
      </w:pPr>
    </w:p>
    <w:p w14:paraId="4B3D8101" w14:textId="77777777" w:rsidR="00A21A2F" w:rsidRDefault="009F34E2">
      <w:pPr>
        <w:pStyle w:val="Brdtekst"/>
        <w:spacing w:line="276" w:lineRule="auto"/>
        <w:ind w:left="141" w:right="114"/>
        <w:jc w:val="both"/>
      </w:pPr>
      <w:r>
        <w:t>Brugerorganisationerne mener, at tolkebrugerne på alle områder selv skal bestemme, hvornår og i hvilket omfang de har behov for tolkning, også ved akutte situationer. Det sker ofte, at tolkebrugerne får afvist ønske om tolk selvom Forvaltningslovens § 7, f</w:t>
      </w:r>
      <w:r>
        <w:t>astlægger at de offentlige myndigheder i fornødent omfang skal yde vejledning og bistand til personer, der retter henvendelse om spørgsmål inden for myndighedens sagsområde. Det betyder i praksis, at det er andre end tolkebrugerne selv, der vurderer om kom</w:t>
      </w:r>
      <w:r>
        <w:t>munikation er muligt uden tolk. Det gælder særligt på de områder, der er underlagt sektoransvarsprincippet. Princippet foreskriver, at den myndighed, som en tolkebruger skal have kontakt med, skal godkende brugen af tolk, da det er myndigheden, som skal be</w:t>
      </w:r>
      <w:r>
        <w:t>tale. Vi kræver, at det skal være en ret at få tolk, hvis man ønsker det, og ikke blot en mulighed, som det er</w:t>
      </w:r>
      <w:r>
        <w:rPr>
          <w:spacing w:val="-2"/>
        </w:rPr>
        <w:t xml:space="preserve"> </w:t>
      </w:r>
      <w:r>
        <w:t>nu.</w:t>
      </w:r>
    </w:p>
    <w:p w14:paraId="118AE838" w14:textId="77777777" w:rsidR="00A21A2F" w:rsidRDefault="009F34E2">
      <w:pPr>
        <w:spacing w:before="2"/>
        <w:ind w:left="141"/>
        <w:jc w:val="both"/>
        <w:rPr>
          <w:i/>
        </w:rPr>
      </w:pPr>
      <w:r>
        <w:rPr>
          <w:i/>
        </w:rPr>
        <w:t>Vi anbefaler derfor at;</w:t>
      </w:r>
    </w:p>
    <w:p w14:paraId="18FB728E" w14:textId="77777777" w:rsidR="00A21A2F" w:rsidRDefault="009F34E2">
      <w:pPr>
        <w:pStyle w:val="Listeafsnit"/>
        <w:numPr>
          <w:ilvl w:val="1"/>
          <w:numId w:val="1"/>
        </w:numPr>
        <w:tabs>
          <w:tab w:val="left" w:pos="862"/>
        </w:tabs>
        <w:spacing w:before="41" w:line="276" w:lineRule="auto"/>
        <w:ind w:right="115" w:hanging="361"/>
        <w:jc w:val="both"/>
        <w:rPr>
          <w:rFonts w:ascii="Symbol" w:hAnsi="Symbol"/>
          <w:i/>
          <w:sz w:val="24"/>
        </w:rPr>
      </w:pPr>
      <w:r>
        <w:rPr>
          <w:i/>
        </w:rPr>
        <w:t>Lovgivningen ændres, så den fremmer en ikke-diskriminerende tilgang til brugen af tolkning, som nævnt i FN's konventi</w:t>
      </w:r>
      <w:r>
        <w:rPr>
          <w:i/>
        </w:rPr>
        <w:t>on om rettigheder for personer med handicap, der er ratificeret af Danmark.</w:t>
      </w:r>
    </w:p>
    <w:p w14:paraId="01666CA2" w14:textId="77777777" w:rsidR="00A21A2F" w:rsidRDefault="009F34E2">
      <w:pPr>
        <w:pStyle w:val="Listeafsnit"/>
        <w:numPr>
          <w:ilvl w:val="1"/>
          <w:numId w:val="1"/>
        </w:numPr>
        <w:tabs>
          <w:tab w:val="left" w:pos="862"/>
        </w:tabs>
        <w:spacing w:line="273" w:lineRule="auto"/>
        <w:ind w:right="116" w:hanging="361"/>
        <w:jc w:val="both"/>
        <w:rPr>
          <w:rFonts w:ascii="Symbol" w:hAnsi="Symbol"/>
          <w:i/>
          <w:sz w:val="24"/>
        </w:rPr>
      </w:pPr>
      <w:r>
        <w:rPr>
          <w:i/>
        </w:rPr>
        <w:t>Lovgivningen ændres med den begrundelse, at et afslag på tolkning, i henhold til konventionen om rettigheder for personer med handicap, er</w:t>
      </w:r>
      <w:r>
        <w:rPr>
          <w:i/>
          <w:spacing w:val="-2"/>
        </w:rPr>
        <w:t xml:space="preserve"> </w:t>
      </w:r>
      <w:r>
        <w:rPr>
          <w:i/>
        </w:rPr>
        <w:t>diskriminerende.</w:t>
      </w:r>
    </w:p>
    <w:p w14:paraId="51623B6C" w14:textId="77777777" w:rsidR="00A21A2F" w:rsidRDefault="009F34E2">
      <w:pPr>
        <w:pStyle w:val="Listeafsnit"/>
        <w:numPr>
          <w:ilvl w:val="1"/>
          <w:numId w:val="1"/>
        </w:numPr>
        <w:tabs>
          <w:tab w:val="left" w:pos="862"/>
        </w:tabs>
        <w:spacing w:line="273" w:lineRule="auto"/>
        <w:ind w:right="116" w:hanging="361"/>
        <w:jc w:val="both"/>
        <w:rPr>
          <w:rFonts w:ascii="Symbol" w:hAnsi="Symbol"/>
          <w:i/>
          <w:sz w:val="24"/>
        </w:rPr>
      </w:pPr>
      <w:r>
        <w:rPr>
          <w:i/>
        </w:rPr>
        <w:t xml:space="preserve">Lovgivningen ændres, så </w:t>
      </w:r>
      <w:r>
        <w:rPr>
          <w:i/>
        </w:rPr>
        <w:t>sektoransvarsprincippet udelukkende er et spørgsmål om, hvem der betaler, ikke hvem der bestemmer behovet for</w:t>
      </w:r>
      <w:r>
        <w:rPr>
          <w:i/>
          <w:spacing w:val="-2"/>
        </w:rPr>
        <w:t xml:space="preserve"> </w:t>
      </w:r>
      <w:r>
        <w:rPr>
          <w:i/>
        </w:rPr>
        <w:t>tolkning.</w:t>
      </w:r>
    </w:p>
    <w:p w14:paraId="408E7D65" w14:textId="77777777" w:rsidR="00A21A2F" w:rsidRDefault="009F34E2">
      <w:pPr>
        <w:pStyle w:val="Listeafsnit"/>
        <w:numPr>
          <w:ilvl w:val="1"/>
          <w:numId w:val="1"/>
        </w:numPr>
        <w:tabs>
          <w:tab w:val="left" w:pos="862"/>
        </w:tabs>
        <w:spacing w:before="4" w:line="276" w:lineRule="auto"/>
        <w:ind w:right="117" w:hanging="361"/>
        <w:jc w:val="both"/>
        <w:rPr>
          <w:rFonts w:ascii="Symbol" w:hAnsi="Symbol"/>
          <w:i/>
          <w:sz w:val="24"/>
        </w:rPr>
      </w:pPr>
      <w:r>
        <w:rPr>
          <w:i/>
        </w:rPr>
        <w:t>Fjerntolkning skal udvikles, så tolkning bliver mere  tilgængeligt. Det kan f.eks. ske gennem pilotprojekter på bl.a. hospitalstolknings</w:t>
      </w:r>
      <w:r>
        <w:rPr>
          <w:i/>
        </w:rPr>
        <w:t>området og</w:t>
      </w:r>
      <w:r>
        <w:rPr>
          <w:i/>
          <w:spacing w:val="-4"/>
        </w:rPr>
        <w:t xml:space="preserve"> </w:t>
      </w:r>
      <w:r>
        <w:rPr>
          <w:i/>
        </w:rPr>
        <w:t>arbejdsmarkedsområdet.</w:t>
      </w:r>
    </w:p>
    <w:p w14:paraId="356D64DB" w14:textId="77777777" w:rsidR="00A21A2F" w:rsidRDefault="00A21A2F">
      <w:pPr>
        <w:spacing w:line="276" w:lineRule="auto"/>
        <w:jc w:val="both"/>
        <w:rPr>
          <w:rFonts w:ascii="Symbol" w:hAnsi="Symbol"/>
          <w:sz w:val="24"/>
        </w:rPr>
        <w:sectPr w:rsidR="00A21A2F">
          <w:pgSz w:w="16840" w:h="11910" w:orient="landscape"/>
          <w:pgMar w:top="1100" w:right="1580" w:bottom="1200" w:left="1560" w:header="0" w:footer="969" w:gutter="0"/>
          <w:cols w:num="2" w:space="708" w:equalWidth="0">
            <w:col w:w="6551" w:space="520"/>
            <w:col w:w="6629"/>
          </w:cols>
        </w:sectPr>
      </w:pPr>
    </w:p>
    <w:p w14:paraId="40C3053E" w14:textId="77777777" w:rsidR="00A21A2F" w:rsidRDefault="009F34E2">
      <w:pPr>
        <w:pStyle w:val="Overskrift1"/>
      </w:pPr>
      <w:bookmarkStart w:id="4" w:name="_bookmark3"/>
      <w:bookmarkEnd w:id="4"/>
      <w:r>
        <w:lastRenderedPageBreak/>
        <w:t>Vision 3: En indgang og udbud med frit valg af tolk</w:t>
      </w:r>
    </w:p>
    <w:p w14:paraId="14ACF3A4" w14:textId="77777777" w:rsidR="00A21A2F" w:rsidRDefault="00A21A2F">
      <w:pPr>
        <w:pStyle w:val="Brdtekst"/>
        <w:spacing w:before="5"/>
        <w:rPr>
          <w:b/>
          <w:sz w:val="23"/>
        </w:rPr>
      </w:pPr>
    </w:p>
    <w:p w14:paraId="4A0BA56E" w14:textId="77777777" w:rsidR="00A21A2F" w:rsidRDefault="009F34E2">
      <w:pPr>
        <w:pStyle w:val="Brdtekst"/>
        <w:spacing w:line="276" w:lineRule="auto"/>
        <w:ind w:left="141" w:right="38"/>
        <w:jc w:val="both"/>
      </w:pPr>
      <w:r>
        <w:t>Brugerorganisationerne mener, at god tolkning er båret af relationen mellem tolk og tolkebruger. Derfor er det afgørende for kvaliteten, a</w:t>
      </w:r>
      <w:r>
        <w:t>t tolkebrugerne har mulighed for frit at vælge, den tolk de ønsker. Det kræver en udbudsstruktur, der giver tolkebrugerne mulighed for at vælge mellem en bred vifte af tolkeleverandører.</w:t>
      </w:r>
    </w:p>
    <w:p w14:paraId="3BD65869" w14:textId="77777777" w:rsidR="00A21A2F" w:rsidRDefault="00A21A2F">
      <w:pPr>
        <w:pStyle w:val="Brdtekst"/>
        <w:spacing w:before="10"/>
        <w:rPr>
          <w:sz w:val="19"/>
        </w:rPr>
      </w:pPr>
    </w:p>
    <w:p w14:paraId="290A79C1" w14:textId="77777777" w:rsidR="00A21A2F" w:rsidRDefault="009F34E2">
      <w:pPr>
        <w:pStyle w:val="Brdtekst"/>
        <w:spacing w:line="276" w:lineRule="auto"/>
        <w:ind w:left="141" w:right="39"/>
        <w:jc w:val="both"/>
      </w:pPr>
      <w:r>
        <w:t>Samtidig er det vigtigt, at bestillingen af tolk gøres så nem og administrativ simpel som muligt, så det ikke udgøre en barriere for brugen af tolk.</w:t>
      </w:r>
    </w:p>
    <w:p w14:paraId="11EDB124" w14:textId="77777777" w:rsidR="00A21A2F" w:rsidRDefault="00A21A2F">
      <w:pPr>
        <w:pStyle w:val="Brdtekst"/>
        <w:spacing w:before="8"/>
        <w:rPr>
          <w:sz w:val="19"/>
        </w:rPr>
      </w:pPr>
    </w:p>
    <w:p w14:paraId="66B16541" w14:textId="77777777" w:rsidR="00A21A2F" w:rsidRDefault="009F34E2">
      <w:pPr>
        <w:ind w:left="141"/>
        <w:jc w:val="both"/>
        <w:rPr>
          <w:i/>
        </w:rPr>
      </w:pPr>
      <w:r>
        <w:rPr>
          <w:i/>
        </w:rPr>
        <w:t>Vi anbefaler derfor at;</w:t>
      </w:r>
    </w:p>
    <w:p w14:paraId="3E864AC7" w14:textId="77777777" w:rsidR="00A21A2F" w:rsidRDefault="00A21A2F">
      <w:pPr>
        <w:pStyle w:val="Brdtekst"/>
        <w:spacing w:before="11"/>
        <w:rPr>
          <w:i/>
        </w:rPr>
      </w:pPr>
    </w:p>
    <w:p w14:paraId="40EF77CE" w14:textId="77777777" w:rsidR="00A21A2F" w:rsidRDefault="009F34E2">
      <w:pPr>
        <w:pStyle w:val="Listeafsnit"/>
        <w:numPr>
          <w:ilvl w:val="1"/>
          <w:numId w:val="1"/>
        </w:numPr>
        <w:tabs>
          <w:tab w:val="left" w:pos="861"/>
          <w:tab w:val="left" w:pos="862"/>
        </w:tabs>
        <w:spacing w:line="276" w:lineRule="auto"/>
        <w:ind w:left="861"/>
        <w:rPr>
          <w:rFonts w:ascii="Symbol" w:hAnsi="Symbol"/>
          <w:i/>
        </w:rPr>
      </w:pPr>
      <w:r>
        <w:rPr>
          <w:i/>
        </w:rPr>
        <w:t>Der skabes en samlet indgang for alle tolkebestillinger – det kan f.eks. ske unde</w:t>
      </w:r>
      <w:r>
        <w:rPr>
          <w:i/>
        </w:rPr>
        <w:t>r Den Nationale</w:t>
      </w:r>
      <w:r>
        <w:rPr>
          <w:i/>
          <w:spacing w:val="-8"/>
        </w:rPr>
        <w:t xml:space="preserve"> </w:t>
      </w:r>
      <w:r>
        <w:rPr>
          <w:i/>
        </w:rPr>
        <w:t>Tolkemyndighed.</w:t>
      </w:r>
    </w:p>
    <w:p w14:paraId="3DD3E690" w14:textId="77777777" w:rsidR="00A21A2F" w:rsidRDefault="009F34E2">
      <w:pPr>
        <w:pStyle w:val="Listeafsnit"/>
        <w:numPr>
          <w:ilvl w:val="1"/>
          <w:numId w:val="1"/>
        </w:numPr>
        <w:tabs>
          <w:tab w:val="left" w:pos="861"/>
          <w:tab w:val="left" w:pos="862"/>
        </w:tabs>
        <w:spacing w:before="2"/>
        <w:ind w:right="0" w:hanging="361"/>
        <w:rPr>
          <w:rFonts w:ascii="Symbol" w:hAnsi="Symbol"/>
          <w:i/>
        </w:rPr>
      </w:pPr>
      <w:r>
        <w:rPr>
          <w:i/>
        </w:rPr>
        <w:t>Der garanteres en udbudsstruktur, der sikrer frit valg af</w:t>
      </w:r>
      <w:r>
        <w:rPr>
          <w:i/>
          <w:spacing w:val="-16"/>
        </w:rPr>
        <w:t xml:space="preserve"> </w:t>
      </w:r>
      <w:r>
        <w:rPr>
          <w:i/>
        </w:rPr>
        <w:t>tolk.</w:t>
      </w:r>
    </w:p>
    <w:p w14:paraId="0540FC28" w14:textId="77777777" w:rsidR="00A21A2F" w:rsidRDefault="009F34E2">
      <w:pPr>
        <w:pStyle w:val="Listeafsnit"/>
        <w:numPr>
          <w:ilvl w:val="1"/>
          <w:numId w:val="1"/>
        </w:numPr>
        <w:tabs>
          <w:tab w:val="left" w:pos="861"/>
          <w:tab w:val="left" w:pos="862"/>
        </w:tabs>
        <w:spacing w:before="38" w:line="276" w:lineRule="auto"/>
        <w:ind w:left="861" w:right="40"/>
        <w:rPr>
          <w:rFonts w:ascii="Symbol" w:hAnsi="Symbol"/>
          <w:i/>
        </w:rPr>
      </w:pPr>
      <w:r>
        <w:rPr>
          <w:i/>
        </w:rPr>
        <w:t>Der garanteres også en udbudsstruktur, der stiller krav til kvalitetskontrol og løbende faglig</w:t>
      </w:r>
      <w:r>
        <w:rPr>
          <w:i/>
          <w:spacing w:val="-10"/>
        </w:rPr>
        <w:t xml:space="preserve"> </w:t>
      </w:r>
      <w:r>
        <w:rPr>
          <w:i/>
        </w:rPr>
        <w:t>udvikling.</w:t>
      </w:r>
    </w:p>
    <w:p w14:paraId="291635D7" w14:textId="77777777" w:rsidR="00A21A2F" w:rsidRDefault="009F34E2">
      <w:pPr>
        <w:pStyle w:val="Listeafsnit"/>
        <w:numPr>
          <w:ilvl w:val="1"/>
          <w:numId w:val="1"/>
        </w:numPr>
        <w:tabs>
          <w:tab w:val="left" w:pos="861"/>
          <w:tab w:val="left" w:pos="862"/>
        </w:tabs>
        <w:spacing w:line="276" w:lineRule="auto"/>
        <w:ind w:left="861" w:right="41"/>
        <w:rPr>
          <w:rFonts w:ascii="Symbol" w:hAnsi="Symbol"/>
          <w:i/>
        </w:rPr>
      </w:pPr>
      <w:r>
        <w:rPr>
          <w:i/>
        </w:rPr>
        <w:t>Muligheden for at uddanne og benytte døve tegnsprogsto</w:t>
      </w:r>
      <w:r>
        <w:rPr>
          <w:i/>
        </w:rPr>
        <w:t>lke på lige fod med andre tegnsprogstolke bliver</w:t>
      </w:r>
      <w:r>
        <w:rPr>
          <w:i/>
          <w:spacing w:val="-5"/>
        </w:rPr>
        <w:t xml:space="preserve"> </w:t>
      </w:r>
      <w:r>
        <w:rPr>
          <w:i/>
        </w:rPr>
        <w:t>sikret.</w:t>
      </w:r>
    </w:p>
    <w:p w14:paraId="541C527E" w14:textId="77777777" w:rsidR="00A21A2F" w:rsidRDefault="009F34E2">
      <w:pPr>
        <w:pStyle w:val="Listeafsnit"/>
        <w:numPr>
          <w:ilvl w:val="1"/>
          <w:numId w:val="1"/>
        </w:numPr>
        <w:tabs>
          <w:tab w:val="left" w:pos="861"/>
          <w:tab w:val="left" w:pos="862"/>
        </w:tabs>
        <w:spacing w:before="2"/>
        <w:ind w:right="0" w:hanging="361"/>
        <w:rPr>
          <w:rFonts w:ascii="Symbol" w:hAnsi="Symbol"/>
          <w:i/>
        </w:rPr>
      </w:pPr>
      <w:r>
        <w:rPr>
          <w:i/>
        </w:rPr>
        <w:t>Der sikres en certificeringsordning af</w:t>
      </w:r>
      <w:r>
        <w:rPr>
          <w:i/>
          <w:spacing w:val="-6"/>
        </w:rPr>
        <w:t xml:space="preserve"> </w:t>
      </w:r>
      <w:r>
        <w:rPr>
          <w:i/>
        </w:rPr>
        <w:t>tolke.</w:t>
      </w:r>
    </w:p>
    <w:p w14:paraId="5D95A05C" w14:textId="77777777" w:rsidR="00A21A2F" w:rsidRDefault="009F34E2">
      <w:pPr>
        <w:pStyle w:val="Listeafsnit"/>
        <w:numPr>
          <w:ilvl w:val="1"/>
          <w:numId w:val="1"/>
        </w:numPr>
        <w:tabs>
          <w:tab w:val="left" w:pos="861"/>
          <w:tab w:val="left" w:pos="862"/>
        </w:tabs>
        <w:spacing w:before="39" w:line="278" w:lineRule="auto"/>
        <w:ind w:left="861" w:right="41"/>
        <w:rPr>
          <w:rFonts w:ascii="Symbol" w:hAnsi="Symbol"/>
          <w:i/>
        </w:rPr>
      </w:pPr>
      <w:r>
        <w:rPr>
          <w:i/>
        </w:rPr>
        <w:t>Det undersøges, om tolkeområdet kan undtages for udbud. Det er et ønske at få det</w:t>
      </w:r>
      <w:r>
        <w:rPr>
          <w:i/>
          <w:spacing w:val="-4"/>
        </w:rPr>
        <w:t xml:space="preserve"> </w:t>
      </w:r>
      <w:r>
        <w:rPr>
          <w:i/>
        </w:rPr>
        <w:t>undtaget.</w:t>
      </w:r>
    </w:p>
    <w:p w14:paraId="5035DB89" w14:textId="77777777" w:rsidR="00A21A2F" w:rsidRDefault="009F34E2">
      <w:pPr>
        <w:pStyle w:val="Overskrift1"/>
      </w:pPr>
      <w:r>
        <w:rPr>
          <w:b w:val="0"/>
        </w:rPr>
        <w:br w:type="column"/>
      </w:r>
      <w:bookmarkStart w:id="5" w:name="_bookmark4"/>
      <w:bookmarkEnd w:id="5"/>
      <w:r>
        <w:t>Vision 4: Fri tolkning på det sociale område</w:t>
      </w:r>
    </w:p>
    <w:p w14:paraId="3D34091C" w14:textId="77777777" w:rsidR="00A21A2F" w:rsidRDefault="00A21A2F">
      <w:pPr>
        <w:pStyle w:val="Brdtekst"/>
        <w:spacing w:before="5"/>
        <w:rPr>
          <w:b/>
          <w:sz w:val="23"/>
        </w:rPr>
      </w:pPr>
    </w:p>
    <w:p w14:paraId="104E580F" w14:textId="77777777" w:rsidR="00A21A2F" w:rsidRDefault="009F34E2">
      <w:pPr>
        <w:pStyle w:val="Brdtekst"/>
        <w:spacing w:line="276" w:lineRule="auto"/>
        <w:ind w:left="141" w:right="115"/>
        <w:jc w:val="both"/>
      </w:pPr>
      <w:r>
        <w:t xml:space="preserve">Brugerorganisationerne oplyser, at reglerne for tolkning på det sociale område er fastsat i Tolkeloven og administreres af Den Nationale Tolkemyndighed (DNTM). Tolkeloven foreskriver, at der gives tidsubegrænset tolkning til aktiviteter, der er nødvendige </w:t>
      </w:r>
      <w:r>
        <w:t>for, at tolkebrugerne kan deltage i samfundslivet på lige fod med andre borgere. Desværre er der områder på det sociale område, der alligevel er undtaget for den tidsubegrænsede tolkning og lagt ud i puljer til specifikke formål og en timebank, som tolkebr</w:t>
      </w:r>
      <w:r>
        <w:t>ugerne kan disponere over. Det betyder, at når puljerne er tomme eller timebanken brugt, så kan tolkebrugerne alligevel ikke få den tolkning til aktiviteter, der er nødvendig for kunne deltage i aktiviteter på lige fod med andre borgere.</w:t>
      </w:r>
    </w:p>
    <w:p w14:paraId="2894E59B" w14:textId="77777777" w:rsidR="00A21A2F" w:rsidRDefault="00A21A2F">
      <w:pPr>
        <w:pStyle w:val="Brdtekst"/>
        <w:spacing w:before="8"/>
        <w:rPr>
          <w:sz w:val="19"/>
        </w:rPr>
      </w:pPr>
    </w:p>
    <w:p w14:paraId="733940F3" w14:textId="77777777" w:rsidR="00A21A2F" w:rsidRDefault="009F34E2">
      <w:pPr>
        <w:spacing w:before="1"/>
        <w:ind w:left="141"/>
        <w:jc w:val="both"/>
        <w:rPr>
          <w:i/>
        </w:rPr>
      </w:pPr>
      <w:r>
        <w:rPr>
          <w:i/>
        </w:rPr>
        <w:t>Vi anbefaler derf</w:t>
      </w:r>
      <w:r>
        <w:rPr>
          <w:i/>
        </w:rPr>
        <w:t>or at;</w:t>
      </w:r>
    </w:p>
    <w:p w14:paraId="767D9BB7" w14:textId="77777777" w:rsidR="00A21A2F" w:rsidRDefault="00A21A2F">
      <w:pPr>
        <w:pStyle w:val="Brdtekst"/>
        <w:rPr>
          <w:i/>
          <w:sz w:val="23"/>
        </w:rPr>
      </w:pPr>
    </w:p>
    <w:p w14:paraId="4BCBBBFB" w14:textId="77777777" w:rsidR="00A21A2F" w:rsidRDefault="009F34E2">
      <w:pPr>
        <w:pStyle w:val="Listeafsnit"/>
        <w:numPr>
          <w:ilvl w:val="1"/>
          <w:numId w:val="1"/>
        </w:numPr>
        <w:tabs>
          <w:tab w:val="left" w:pos="861"/>
          <w:tab w:val="left" w:pos="862"/>
        </w:tabs>
        <w:spacing w:line="276" w:lineRule="auto"/>
        <w:ind w:right="411" w:hanging="361"/>
        <w:rPr>
          <w:rFonts w:ascii="Symbol" w:hAnsi="Symbol"/>
          <w:i/>
        </w:rPr>
      </w:pPr>
      <w:r>
        <w:rPr>
          <w:i/>
        </w:rPr>
        <w:t>Der garanteres tidsubegrænset tolkning på alle områder, og puljerne, tidsbegrænset tolkning og timebankordningen nedlægges.</w:t>
      </w:r>
    </w:p>
    <w:p w14:paraId="61F779CD" w14:textId="77777777" w:rsidR="00A21A2F" w:rsidRDefault="00A21A2F">
      <w:pPr>
        <w:spacing w:line="276" w:lineRule="auto"/>
        <w:rPr>
          <w:rFonts w:ascii="Symbol" w:hAnsi="Symbol"/>
        </w:rPr>
        <w:sectPr w:rsidR="00A21A2F">
          <w:pgSz w:w="16840" w:h="11910" w:orient="landscape"/>
          <w:pgMar w:top="1100" w:right="1580" w:bottom="1200" w:left="1560" w:header="0" w:footer="969" w:gutter="0"/>
          <w:cols w:num="2" w:space="708" w:equalWidth="0">
            <w:col w:w="6550" w:space="521"/>
            <w:col w:w="6629"/>
          </w:cols>
        </w:sectPr>
      </w:pPr>
    </w:p>
    <w:p w14:paraId="6E08A3B5" w14:textId="77777777" w:rsidR="00A21A2F" w:rsidRDefault="009F34E2">
      <w:pPr>
        <w:pStyle w:val="Overskrift1"/>
      </w:pPr>
      <w:bookmarkStart w:id="6" w:name="_bookmark5"/>
      <w:bookmarkEnd w:id="6"/>
      <w:r>
        <w:lastRenderedPageBreak/>
        <w:t>Vision 5: En fleksibel arbejdspladstolkning</w:t>
      </w:r>
    </w:p>
    <w:p w14:paraId="5C7D48B8" w14:textId="77777777" w:rsidR="00A21A2F" w:rsidRDefault="00A21A2F">
      <w:pPr>
        <w:pStyle w:val="Brdtekst"/>
        <w:spacing w:before="5"/>
        <w:rPr>
          <w:b/>
          <w:sz w:val="23"/>
        </w:rPr>
      </w:pPr>
    </w:p>
    <w:p w14:paraId="4D5B9F52" w14:textId="77777777" w:rsidR="00A21A2F" w:rsidRDefault="009F34E2">
      <w:pPr>
        <w:pStyle w:val="Brdtekst"/>
        <w:spacing w:line="276" w:lineRule="auto"/>
        <w:ind w:left="141" w:right="38"/>
        <w:jc w:val="both"/>
      </w:pPr>
      <w:r>
        <w:t>Brugerorganisationerne mener, at en vigtig forud</w:t>
      </w:r>
      <w:r>
        <w:t xml:space="preserve">sætning for at komme ind på og fastholde tilknytningen til arbejdsmarkedet, er muligheden for tolkning i forbindelse med arbejdet. På nuværende tidspunkt er de fleste tolkebrugere begrænset af reglerne om retten til personlig assistance, der fastlægger et </w:t>
      </w:r>
      <w:r>
        <w:t xml:space="preserve">loft 20 timers arbejdspladstolkning (retten til personlig assistance) om uge ved fuldtidsarbejde. Det er nok for mange, men der er en gruppe af tolkebrugere, der har behov for flere timer grundet arbejdets karakter. Det kan være aktuelt for højtuddannede, </w:t>
      </w:r>
      <w:r>
        <w:t>selvstændige og andre, hvor den uformelle og fleksible kommunikation er afgørende for arbejdet. Der er således behov for, at reglerne gøres mere fleksible, så de tilpasses den enkelte arbejdsplads og tolkebrugers</w:t>
      </w:r>
      <w:r>
        <w:rPr>
          <w:spacing w:val="-8"/>
        </w:rPr>
        <w:t xml:space="preserve"> </w:t>
      </w:r>
      <w:r>
        <w:t>behov.</w:t>
      </w:r>
    </w:p>
    <w:p w14:paraId="4EFBFCE2" w14:textId="77777777" w:rsidR="00A21A2F" w:rsidRDefault="00A21A2F">
      <w:pPr>
        <w:pStyle w:val="Brdtekst"/>
        <w:spacing w:before="8"/>
        <w:rPr>
          <w:sz w:val="19"/>
        </w:rPr>
      </w:pPr>
    </w:p>
    <w:p w14:paraId="342139C0" w14:textId="77777777" w:rsidR="00A21A2F" w:rsidRDefault="009F34E2">
      <w:pPr>
        <w:spacing w:before="1"/>
        <w:ind w:left="141"/>
        <w:jc w:val="both"/>
        <w:rPr>
          <w:i/>
        </w:rPr>
      </w:pPr>
      <w:r>
        <w:rPr>
          <w:i/>
        </w:rPr>
        <w:t>Vi anbefaler derfor at;</w:t>
      </w:r>
    </w:p>
    <w:p w14:paraId="79B157CF" w14:textId="77777777" w:rsidR="00A21A2F" w:rsidRDefault="00A21A2F">
      <w:pPr>
        <w:pStyle w:val="Brdtekst"/>
        <w:rPr>
          <w:i/>
          <w:sz w:val="23"/>
        </w:rPr>
      </w:pPr>
    </w:p>
    <w:p w14:paraId="238290F8" w14:textId="77777777" w:rsidR="00A21A2F" w:rsidRDefault="009F34E2">
      <w:pPr>
        <w:pStyle w:val="Listeafsnit"/>
        <w:numPr>
          <w:ilvl w:val="1"/>
          <w:numId w:val="1"/>
        </w:numPr>
        <w:tabs>
          <w:tab w:val="left" w:pos="862"/>
        </w:tabs>
        <w:spacing w:line="276" w:lineRule="auto"/>
        <w:ind w:left="861"/>
        <w:jc w:val="both"/>
        <w:rPr>
          <w:rFonts w:ascii="Symbol" w:hAnsi="Symbol"/>
          <w:i/>
        </w:rPr>
      </w:pPr>
      <w:r>
        <w:rPr>
          <w:i/>
        </w:rPr>
        <w:t>Reglerne f</w:t>
      </w:r>
      <w:r>
        <w:rPr>
          <w:i/>
        </w:rPr>
        <w:t>or tolkning på arbejdsmarkedet gøres mere fleksible, således at der gives mulighed for mere end 20 timers tolkning om ugen og med udgangspunkt i arbejdspladsens og tolkebrugerens</w:t>
      </w:r>
      <w:r>
        <w:rPr>
          <w:i/>
          <w:spacing w:val="-1"/>
        </w:rPr>
        <w:t xml:space="preserve"> </w:t>
      </w:r>
      <w:r>
        <w:rPr>
          <w:i/>
        </w:rPr>
        <w:t>behov.</w:t>
      </w:r>
    </w:p>
    <w:p w14:paraId="63003BCE" w14:textId="77777777" w:rsidR="00A21A2F" w:rsidRDefault="009F34E2">
      <w:pPr>
        <w:pStyle w:val="Listeafsnit"/>
        <w:numPr>
          <w:ilvl w:val="1"/>
          <w:numId w:val="1"/>
        </w:numPr>
        <w:tabs>
          <w:tab w:val="left" w:pos="862"/>
        </w:tabs>
        <w:spacing w:before="1" w:line="276" w:lineRule="auto"/>
        <w:ind w:left="861" w:right="39"/>
        <w:jc w:val="both"/>
        <w:rPr>
          <w:rFonts w:ascii="Symbol" w:hAnsi="Symbol"/>
          <w:i/>
        </w:rPr>
      </w:pPr>
      <w:r>
        <w:rPr>
          <w:i/>
        </w:rPr>
        <w:t xml:space="preserve">Tolkebrugernes bevillinger opgøres hver 6. måned i stedet for hver 3. </w:t>
      </w:r>
      <w:r>
        <w:rPr>
          <w:i/>
        </w:rPr>
        <w:t>måned som nu. Det giver større</w:t>
      </w:r>
      <w:r>
        <w:rPr>
          <w:i/>
          <w:spacing w:val="-15"/>
        </w:rPr>
        <w:t xml:space="preserve"> </w:t>
      </w:r>
      <w:r>
        <w:rPr>
          <w:i/>
        </w:rPr>
        <w:t>fleksibilitet.</w:t>
      </w:r>
    </w:p>
    <w:p w14:paraId="1B033324" w14:textId="77777777" w:rsidR="00A21A2F" w:rsidRDefault="009F34E2">
      <w:pPr>
        <w:pStyle w:val="Overskrift1"/>
      </w:pPr>
      <w:r>
        <w:rPr>
          <w:b w:val="0"/>
        </w:rPr>
        <w:br w:type="column"/>
      </w:r>
      <w:bookmarkStart w:id="7" w:name="_bookmark6"/>
      <w:bookmarkEnd w:id="7"/>
      <w:r>
        <w:t>Vision 6: Tolkning indenfor uddannelsesområdet</w:t>
      </w:r>
    </w:p>
    <w:p w14:paraId="64CDB5BB" w14:textId="77777777" w:rsidR="00A21A2F" w:rsidRDefault="00A21A2F">
      <w:pPr>
        <w:pStyle w:val="Brdtekst"/>
        <w:spacing w:before="5"/>
        <w:rPr>
          <w:b/>
          <w:sz w:val="23"/>
        </w:rPr>
      </w:pPr>
    </w:p>
    <w:p w14:paraId="42C1B5FA" w14:textId="77777777" w:rsidR="00A21A2F" w:rsidRDefault="009F34E2">
      <w:pPr>
        <w:pStyle w:val="Brdtekst"/>
        <w:spacing w:line="276" w:lineRule="auto"/>
        <w:ind w:left="141" w:right="114"/>
        <w:jc w:val="both"/>
      </w:pPr>
      <w:r>
        <w:t>Brugerorganisationerne mener, at en afgørende forudsætning for at styrke unge tolkebrugeres beskæftigelsesmuligheder er en uddannelse. Desværre ser vi, at studerende tolkebrugere oplever barrierer og problemer i forbindelse med tolkningen. Særligt har udbu</w:t>
      </w:r>
      <w:r>
        <w:t>d skabt udfordringer, da det har betydet skift af tolkeleverandør undervejs i studierne. Samtidig kan vi se, at udbuddet på uddannelsesområdet under Undervisningsministeriet (STUK) har betydet, at tolkebrugere ikke gives frit valg af tolkeleverandør. Tolke</w:t>
      </w:r>
      <w:r>
        <w:t>opgaven udbydes til de billigste på listen, og en tolkeleverandør kan tage opgaver, selv om de ikke har tolke til at løse opgaven, hvorefter de kan ”sælge” opgaven til en underleverandør. Det resulterer i, at opgaver trækkes tilbage, hvis hovedleverandøren</w:t>
      </w:r>
      <w:r>
        <w:t xml:space="preserve"> pludselig selv mangler opgaver. Så får tolkebrugeren igen et tolkeskift. Endeligt er det tydeligt, at udbud på uddannelsesområdet har betydet, at tolkene presses til at tolke flere timer ugentligt end tidligere, hvilket forringer kvaliteten af</w:t>
      </w:r>
      <w:r>
        <w:rPr>
          <w:spacing w:val="-4"/>
        </w:rPr>
        <w:t xml:space="preserve"> </w:t>
      </w:r>
      <w:r>
        <w:t>tolkningen.</w:t>
      </w:r>
    </w:p>
    <w:p w14:paraId="1C6F1901" w14:textId="77777777" w:rsidR="00A21A2F" w:rsidRDefault="00A21A2F">
      <w:pPr>
        <w:pStyle w:val="Brdtekst"/>
        <w:spacing w:before="10"/>
        <w:rPr>
          <w:sz w:val="16"/>
        </w:rPr>
      </w:pPr>
    </w:p>
    <w:p w14:paraId="6D1F0564" w14:textId="77777777" w:rsidR="00A21A2F" w:rsidRDefault="009F34E2">
      <w:pPr>
        <w:ind w:left="141"/>
        <w:jc w:val="both"/>
        <w:rPr>
          <w:i/>
        </w:rPr>
      </w:pPr>
      <w:r>
        <w:rPr>
          <w:i/>
        </w:rPr>
        <w:t>Vi anbefaler derfor at;</w:t>
      </w:r>
    </w:p>
    <w:p w14:paraId="5A1EB8D9" w14:textId="77777777" w:rsidR="00A21A2F" w:rsidRDefault="00A21A2F">
      <w:pPr>
        <w:pStyle w:val="Brdtekst"/>
        <w:spacing w:before="6"/>
        <w:rPr>
          <w:i/>
          <w:sz w:val="19"/>
        </w:rPr>
      </w:pPr>
    </w:p>
    <w:p w14:paraId="67A64FD8" w14:textId="77777777" w:rsidR="00A21A2F" w:rsidRDefault="009F34E2">
      <w:pPr>
        <w:pStyle w:val="Listeafsnit"/>
        <w:numPr>
          <w:ilvl w:val="1"/>
          <w:numId w:val="1"/>
        </w:numPr>
        <w:tabs>
          <w:tab w:val="left" w:pos="861"/>
          <w:tab w:val="left" w:pos="862"/>
        </w:tabs>
        <w:spacing w:before="1" w:line="273" w:lineRule="auto"/>
        <w:ind w:right="118" w:hanging="361"/>
        <w:rPr>
          <w:rFonts w:ascii="Symbol" w:hAnsi="Symbol"/>
          <w:i/>
        </w:rPr>
      </w:pPr>
      <w:r>
        <w:rPr>
          <w:i/>
        </w:rPr>
        <w:t>Studerende sikres det samme tolketeam gennem hele sin uddannelse.</w:t>
      </w:r>
    </w:p>
    <w:p w14:paraId="72520AB3" w14:textId="77777777" w:rsidR="00A21A2F" w:rsidRDefault="009F34E2">
      <w:pPr>
        <w:pStyle w:val="Listeafsnit"/>
        <w:numPr>
          <w:ilvl w:val="1"/>
          <w:numId w:val="1"/>
        </w:numPr>
        <w:tabs>
          <w:tab w:val="left" w:pos="861"/>
          <w:tab w:val="left" w:pos="862"/>
        </w:tabs>
        <w:spacing w:before="4" w:line="273" w:lineRule="auto"/>
        <w:ind w:right="118" w:hanging="361"/>
        <w:rPr>
          <w:rFonts w:ascii="Symbol" w:hAnsi="Symbol"/>
          <w:i/>
        </w:rPr>
      </w:pPr>
      <w:r>
        <w:rPr>
          <w:i/>
        </w:rPr>
        <w:t>Der udarbejdes regler for, hvor mange timer en tolk må tolke pr.</w:t>
      </w:r>
      <w:r>
        <w:rPr>
          <w:i/>
          <w:spacing w:val="-1"/>
        </w:rPr>
        <w:t xml:space="preserve"> </w:t>
      </w:r>
      <w:r>
        <w:rPr>
          <w:i/>
        </w:rPr>
        <w:t>dag</w:t>
      </w:r>
    </w:p>
    <w:p w14:paraId="5071712F" w14:textId="77777777" w:rsidR="00A21A2F" w:rsidRDefault="009F34E2">
      <w:pPr>
        <w:pStyle w:val="Listeafsnit"/>
        <w:numPr>
          <w:ilvl w:val="1"/>
          <w:numId w:val="1"/>
        </w:numPr>
        <w:tabs>
          <w:tab w:val="left" w:pos="861"/>
          <w:tab w:val="left" w:pos="862"/>
        </w:tabs>
        <w:spacing w:before="5" w:line="278" w:lineRule="auto"/>
        <w:ind w:right="117" w:hanging="361"/>
        <w:rPr>
          <w:rFonts w:ascii="Symbol" w:hAnsi="Symbol"/>
          <w:i/>
        </w:rPr>
      </w:pPr>
      <w:r>
        <w:rPr>
          <w:i/>
        </w:rPr>
        <w:t>Der sikres frit valg af tolkeleverandør til uddannelsestolkning for at øge</w:t>
      </w:r>
      <w:r>
        <w:rPr>
          <w:i/>
          <w:spacing w:val="-3"/>
        </w:rPr>
        <w:t xml:space="preserve"> </w:t>
      </w:r>
      <w:r>
        <w:rPr>
          <w:i/>
        </w:rPr>
        <w:t>kvaliteten.</w:t>
      </w:r>
    </w:p>
    <w:p w14:paraId="2B0FF12A" w14:textId="77777777" w:rsidR="00A21A2F" w:rsidRDefault="00A21A2F">
      <w:pPr>
        <w:spacing w:line="278" w:lineRule="auto"/>
        <w:rPr>
          <w:rFonts w:ascii="Symbol" w:hAnsi="Symbol"/>
        </w:rPr>
        <w:sectPr w:rsidR="00A21A2F">
          <w:pgSz w:w="16840" w:h="11910" w:orient="landscape"/>
          <w:pgMar w:top="1100" w:right="1580" w:bottom="1200" w:left="1560" w:header="0" w:footer="969" w:gutter="0"/>
          <w:cols w:num="2" w:space="708" w:equalWidth="0">
            <w:col w:w="6551" w:space="520"/>
            <w:col w:w="6629"/>
          </w:cols>
        </w:sectPr>
      </w:pPr>
    </w:p>
    <w:p w14:paraId="1DA3B0FA" w14:textId="77777777" w:rsidR="00A21A2F" w:rsidRDefault="009F34E2">
      <w:pPr>
        <w:pStyle w:val="Overskrift1"/>
        <w:jc w:val="left"/>
      </w:pPr>
      <w:bookmarkStart w:id="8" w:name="_bookmark7"/>
      <w:bookmarkEnd w:id="8"/>
      <w:r>
        <w:lastRenderedPageBreak/>
        <w:t>Aktuel lovgivning</w:t>
      </w:r>
    </w:p>
    <w:p w14:paraId="2BC91CB2" w14:textId="77777777" w:rsidR="00A21A2F" w:rsidRDefault="00A21A2F">
      <w:pPr>
        <w:pStyle w:val="Brdtekst"/>
        <w:rPr>
          <w:b/>
          <w:sz w:val="28"/>
        </w:rPr>
      </w:pPr>
    </w:p>
    <w:p w14:paraId="5D5EA324" w14:textId="77777777" w:rsidR="00A21A2F" w:rsidRDefault="009F34E2">
      <w:pPr>
        <w:pStyle w:val="Brdtekst"/>
        <w:spacing w:before="213" w:line="278" w:lineRule="auto"/>
        <w:ind w:left="141" w:right="8267"/>
      </w:pPr>
      <w:r>
        <w:t>Bekendtgørelse nr. 817 af 26-06-2013 om kompensation til handicappede i erhverv. Beskæftigelsesministeriet</w:t>
      </w:r>
    </w:p>
    <w:p w14:paraId="12A58B0D" w14:textId="77777777" w:rsidR="00A21A2F" w:rsidRDefault="009F34E2">
      <w:pPr>
        <w:pStyle w:val="Brdtekst"/>
        <w:spacing w:before="196" w:line="276" w:lineRule="auto"/>
        <w:ind w:left="141" w:right="7188"/>
        <w:jc w:val="both"/>
      </w:pPr>
      <w:r>
        <w:t>Bekendtgørelse af lov om tolkning til personer med hørehandicap nr. 1379 af 23/11/2016. Lov nr. 927 § 10 tilsiger, at der er tidsubegrænset tolkning til aktiviteter, der er nødvendige for, at personer med hørehandicap kan deltage i samfundslivet på lige fo</w:t>
      </w:r>
      <w:r>
        <w:t>d med andre borgere.</w:t>
      </w:r>
    </w:p>
    <w:p w14:paraId="73D42592" w14:textId="77777777" w:rsidR="00A21A2F" w:rsidRDefault="00A21A2F">
      <w:pPr>
        <w:pStyle w:val="Brdtekst"/>
        <w:spacing w:before="5"/>
        <w:rPr>
          <w:sz w:val="16"/>
        </w:rPr>
      </w:pPr>
    </w:p>
    <w:p w14:paraId="2CB2468E" w14:textId="77777777" w:rsidR="00A21A2F" w:rsidRDefault="009F34E2">
      <w:pPr>
        <w:pStyle w:val="Brdtekst"/>
        <w:spacing w:line="276" w:lineRule="auto"/>
        <w:ind w:left="141" w:right="7190"/>
        <w:jc w:val="both"/>
      </w:pPr>
      <w:r>
        <w:t>§ 10 a fastslår, at der ydes bevillingsbegrænset tolkning til andre aktiviteter end i de i § 10 nævnte aktiviteter.</w:t>
      </w:r>
    </w:p>
    <w:p w14:paraId="4E497A72" w14:textId="77777777" w:rsidR="00A21A2F" w:rsidRDefault="00A21A2F">
      <w:pPr>
        <w:pStyle w:val="Brdtekst"/>
        <w:spacing w:before="3"/>
        <w:rPr>
          <w:sz w:val="16"/>
        </w:rPr>
      </w:pPr>
    </w:p>
    <w:p w14:paraId="73EB3E7A" w14:textId="77777777" w:rsidR="00A21A2F" w:rsidRDefault="009F34E2">
      <w:pPr>
        <w:pStyle w:val="Brdtekst"/>
        <w:spacing w:line="276" w:lineRule="auto"/>
        <w:ind w:left="141" w:right="7187"/>
        <w:jc w:val="both"/>
      </w:pPr>
      <w:r>
        <w:t xml:space="preserve">§ 12 definerer, at brugere omfattet af den fælles tolkeløsning tildeles et antal timer årligt til tolkning, der ikke </w:t>
      </w:r>
      <w:r>
        <w:t>er omfattet af tidsubegrænset tolkning. Timerne placeres i en timebank. For døve og hørehæmmede er timebanken på 7 timer om året og for døvblinde 20 timer</w:t>
      </w:r>
      <w:r>
        <w:rPr>
          <w:spacing w:val="-14"/>
        </w:rPr>
        <w:t xml:space="preserve"> </w:t>
      </w:r>
      <w:r>
        <w:t>årligt.</w:t>
      </w:r>
    </w:p>
    <w:p w14:paraId="22C8D113" w14:textId="77777777" w:rsidR="00A21A2F" w:rsidRDefault="00A21A2F">
      <w:pPr>
        <w:pStyle w:val="Brdtekst"/>
        <w:spacing w:before="8"/>
        <w:rPr>
          <w:sz w:val="16"/>
        </w:rPr>
      </w:pPr>
    </w:p>
    <w:p w14:paraId="0D097808" w14:textId="77777777" w:rsidR="00A21A2F" w:rsidRDefault="009F34E2">
      <w:pPr>
        <w:pStyle w:val="Brdtekst"/>
        <w:ind w:left="141"/>
        <w:jc w:val="both"/>
      </w:pPr>
      <w:r>
        <w:t>Forvaltningslovens § 7</w:t>
      </w:r>
    </w:p>
    <w:p w14:paraId="3F4E923D" w14:textId="77777777" w:rsidR="00A21A2F" w:rsidRDefault="00A21A2F">
      <w:pPr>
        <w:pStyle w:val="Brdtekst"/>
        <w:spacing w:before="8"/>
        <w:rPr>
          <w:sz w:val="19"/>
        </w:rPr>
      </w:pPr>
    </w:p>
    <w:p w14:paraId="444D0501" w14:textId="77777777" w:rsidR="00A21A2F" w:rsidRDefault="009F34E2">
      <w:pPr>
        <w:pStyle w:val="Brdtekst"/>
        <w:spacing w:line="276" w:lineRule="auto"/>
        <w:ind w:left="141" w:right="7188"/>
        <w:jc w:val="both"/>
      </w:pPr>
      <w:r>
        <w:t>§ 7. En forvaltningsmyndighed skal i fornødent omfang yde vejledning</w:t>
      </w:r>
      <w:r>
        <w:t xml:space="preserve"> og bistand til personer, der retter henvendelse om spørgsmål inden for myndighedens sagsområde.</w:t>
      </w:r>
    </w:p>
    <w:p w14:paraId="59C5BED8" w14:textId="77777777" w:rsidR="00A21A2F" w:rsidRDefault="00A21A2F">
      <w:pPr>
        <w:pStyle w:val="Brdtekst"/>
        <w:spacing w:before="4"/>
        <w:rPr>
          <w:sz w:val="16"/>
        </w:rPr>
      </w:pPr>
    </w:p>
    <w:p w14:paraId="12374940" w14:textId="77777777" w:rsidR="00A21A2F" w:rsidRDefault="009F34E2">
      <w:pPr>
        <w:pStyle w:val="Brdtekst"/>
        <w:spacing w:line="276" w:lineRule="auto"/>
        <w:ind w:left="141" w:right="7189"/>
        <w:jc w:val="both"/>
      </w:pPr>
      <w:r>
        <w:t>Stk. 2. Modtager en forvaltningsmyndighed en skriftlig henvendelse, som ikke vedrører dens sagsområde, videresendes henvendelsen så vidt muligt til rette mynd</w:t>
      </w:r>
      <w:r>
        <w:t>ighed.</w:t>
      </w:r>
    </w:p>
    <w:sectPr w:rsidR="00A21A2F">
      <w:pgSz w:w="16840" w:h="11910" w:orient="landscape"/>
      <w:pgMar w:top="1100" w:right="1580" w:bottom="1200" w:left="1560" w:header="0" w:footer="9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3ED7F" w14:textId="77777777" w:rsidR="00000000" w:rsidRDefault="009F34E2">
      <w:r>
        <w:separator/>
      </w:r>
    </w:p>
  </w:endnote>
  <w:endnote w:type="continuationSeparator" w:id="0">
    <w:p w14:paraId="63B1460F" w14:textId="77777777" w:rsidR="00000000" w:rsidRDefault="009F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F286" w14:textId="66C6D36A" w:rsidR="00A21A2F" w:rsidRDefault="009F34E2">
    <w:pPr>
      <w:pStyle w:val="Brdtekst"/>
      <w:spacing w:line="14" w:lineRule="auto"/>
      <w:rPr>
        <w:sz w:val="20"/>
      </w:rPr>
    </w:pPr>
    <w:r>
      <w:rPr>
        <w:noProof/>
      </w:rPr>
      <mc:AlternateContent>
        <mc:Choice Requires="wps">
          <w:drawing>
            <wp:anchor distT="0" distB="0" distL="114300" distR="114300" simplePos="0" relativeHeight="251657728" behindDoc="1" locked="0" layoutInCell="1" allowOverlap="1" wp14:anchorId="4CA14310" wp14:editId="1D6C8213">
              <wp:simplePos x="0" y="0"/>
              <wp:positionH relativeFrom="page">
                <wp:posOffset>9504680</wp:posOffset>
              </wp:positionH>
              <wp:positionV relativeFrom="page">
                <wp:posOffset>6784340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A3C3" w14:textId="77777777" w:rsidR="00A21A2F" w:rsidRDefault="009F34E2">
                          <w:pPr>
                            <w:pStyle w:val="Brdteks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4310" id="_x0000_t202" coordsize="21600,21600" o:spt="202" path="m,l,21600r21600,l21600,xe">
              <v:stroke joinstyle="miter"/>
              <v:path gradientshapeok="t" o:connecttype="rect"/>
            </v:shapetype>
            <v:shape id="Text Box 1" o:spid="_x0000_s1026" type="#_x0000_t202" style="position:absolute;margin-left:748.4pt;margin-top:534.2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" filled="f" stroked="f">
              <v:textbox inset="0,0,0,0">
                <w:txbxContent>
                  <w:p w14:paraId="6196A3C3" w14:textId="77777777" w:rsidR="00A21A2F" w:rsidRDefault="009F34E2">
                    <w:pPr>
                      <w:pStyle w:val="Brdteks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DA9F0" w14:textId="77777777" w:rsidR="00000000" w:rsidRDefault="009F34E2">
      <w:r>
        <w:separator/>
      </w:r>
    </w:p>
  </w:footnote>
  <w:footnote w:type="continuationSeparator" w:id="0">
    <w:p w14:paraId="5E0534B6" w14:textId="77777777" w:rsidR="00000000" w:rsidRDefault="009F3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72533"/>
    <w:multiLevelType w:val="hybridMultilevel"/>
    <w:tmpl w:val="830AB998"/>
    <w:lvl w:ilvl="0" w:tplc="9D821512">
      <w:numFmt w:val="bullet"/>
      <w:lvlText w:val=""/>
      <w:lvlJc w:val="left"/>
      <w:pPr>
        <w:ind w:left="501" w:hanging="360"/>
      </w:pPr>
      <w:rPr>
        <w:rFonts w:ascii="Symbol" w:eastAsia="Symbol" w:hAnsi="Symbol" w:cs="Symbol" w:hint="default"/>
        <w:w w:val="100"/>
        <w:sz w:val="22"/>
        <w:szCs w:val="22"/>
        <w:lang/>
      </w:rPr>
    </w:lvl>
    <w:lvl w:ilvl="1" w:tplc="B32054FA">
      <w:numFmt w:val="bullet"/>
      <w:lvlText w:val=""/>
      <w:lvlJc w:val="left"/>
      <w:pPr>
        <w:ind w:left="862" w:hanging="360"/>
      </w:pPr>
      <w:rPr>
        <w:rFonts w:hint="default"/>
        <w:w w:val="100"/>
        <w:lang/>
      </w:rPr>
    </w:lvl>
    <w:lvl w:ilvl="2" w:tplc="8FD8E878">
      <w:numFmt w:val="bullet"/>
      <w:lvlText w:val="•"/>
      <w:lvlJc w:val="left"/>
      <w:pPr>
        <w:ind w:left="706" w:hanging="360"/>
      </w:pPr>
      <w:rPr>
        <w:rFonts w:hint="default"/>
        <w:lang/>
      </w:rPr>
    </w:lvl>
    <w:lvl w:ilvl="3" w:tplc="FD40207C">
      <w:numFmt w:val="bullet"/>
      <w:lvlText w:val="•"/>
      <w:lvlJc w:val="left"/>
      <w:pPr>
        <w:ind w:left="553" w:hanging="360"/>
      </w:pPr>
      <w:rPr>
        <w:rFonts w:hint="default"/>
        <w:lang/>
      </w:rPr>
    </w:lvl>
    <w:lvl w:ilvl="4" w:tplc="BCDCD09A">
      <w:numFmt w:val="bullet"/>
      <w:lvlText w:val="•"/>
      <w:lvlJc w:val="left"/>
      <w:pPr>
        <w:ind w:left="399" w:hanging="360"/>
      </w:pPr>
      <w:rPr>
        <w:rFonts w:hint="default"/>
        <w:lang/>
      </w:rPr>
    </w:lvl>
    <w:lvl w:ilvl="5" w:tplc="253E1D10">
      <w:numFmt w:val="bullet"/>
      <w:lvlText w:val="•"/>
      <w:lvlJc w:val="left"/>
      <w:pPr>
        <w:ind w:left="246" w:hanging="360"/>
      </w:pPr>
      <w:rPr>
        <w:rFonts w:hint="default"/>
        <w:lang/>
      </w:rPr>
    </w:lvl>
    <w:lvl w:ilvl="6" w:tplc="32C88A00">
      <w:numFmt w:val="bullet"/>
      <w:lvlText w:val="•"/>
      <w:lvlJc w:val="left"/>
      <w:pPr>
        <w:ind w:left="92" w:hanging="360"/>
      </w:pPr>
      <w:rPr>
        <w:rFonts w:hint="default"/>
        <w:lang/>
      </w:rPr>
    </w:lvl>
    <w:lvl w:ilvl="7" w:tplc="9A5648AA">
      <w:numFmt w:val="bullet"/>
      <w:lvlText w:val="•"/>
      <w:lvlJc w:val="left"/>
      <w:pPr>
        <w:ind w:left="-61" w:hanging="360"/>
      </w:pPr>
      <w:rPr>
        <w:rFonts w:hint="default"/>
        <w:lang/>
      </w:rPr>
    </w:lvl>
    <w:lvl w:ilvl="8" w:tplc="24320FDE">
      <w:numFmt w:val="bullet"/>
      <w:lvlText w:val="•"/>
      <w:lvlJc w:val="left"/>
      <w:pPr>
        <w:ind w:left="-215" w:hanging="360"/>
      </w:pPr>
      <w:rPr>
        <w:rFonts w:hint="default"/>
        <w:lang/>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2F"/>
    <w:rsid w:val="009F34E2"/>
    <w:rsid w:val="00A21A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35B79D"/>
  <w15:docId w15:val="{0E4BD834-6FE0-4F02-B099-3CE5451C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rPr>
  </w:style>
  <w:style w:type="paragraph" w:styleId="Overskrift1">
    <w:name w:val="heading 1"/>
    <w:basedOn w:val="Normal"/>
    <w:uiPriority w:val="9"/>
    <w:qFormat/>
    <w:pPr>
      <w:spacing w:before="29"/>
      <w:ind w:left="141"/>
      <w:jc w:val="both"/>
      <w:outlineLvl w:val="0"/>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1"/>
    <w:qFormat/>
    <w:pPr>
      <w:spacing w:before="139"/>
      <w:ind w:left="141"/>
    </w:pPr>
  </w:style>
  <w:style w:type="paragraph" w:styleId="Brdtekst">
    <w:name w:val="Body Text"/>
    <w:basedOn w:val="Normal"/>
    <w:uiPriority w:val="1"/>
    <w:qFormat/>
  </w:style>
  <w:style w:type="paragraph" w:styleId="Listeafsnit">
    <w:name w:val="List Paragraph"/>
    <w:basedOn w:val="Normal"/>
    <w:uiPriority w:val="1"/>
    <w:qFormat/>
    <w:pPr>
      <w:ind w:left="862" w:right="3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9343</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Nilsson</dc:creator>
  <cp:lastModifiedBy>Per Fruerled (DDL)</cp:lastModifiedBy>
  <cp:revision>2</cp:revision>
  <dcterms:created xsi:type="dcterms:W3CDTF">2020-02-17T08:11:00Z</dcterms:created>
  <dcterms:modified xsi:type="dcterms:W3CDTF">2020-02-17T08:11:00Z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2010</vt:lpwstr>
  </property>
  <property fmtid="{D5CDD505-2E9C-101B-9397-08002B2CF9AE}" pid="4" name="LastSaved">
    <vt:filetime>2020-02-17T00:00:00Z</vt:filetime>
  </property>
</Properties>
</file>